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BD05" w14:textId="73F4C738" w:rsidR="00545D05" w:rsidRPr="00F22278" w:rsidRDefault="00CC40A3" w:rsidP="00F22278">
      <w:pPr>
        <w:pStyle w:val="Nagwek1"/>
        <w:jc w:val="center"/>
        <w:rPr>
          <w:b/>
          <w:bCs/>
        </w:rPr>
      </w:pPr>
      <w:r w:rsidRPr="00F22278">
        <w:rPr>
          <w:b/>
          <w:bCs/>
        </w:rPr>
        <w:t xml:space="preserve">Procedura nr </w:t>
      </w:r>
      <w:r w:rsidR="007E071A" w:rsidRPr="00F22278">
        <w:rPr>
          <w:b/>
          <w:bCs/>
        </w:rPr>
        <w:t>5</w:t>
      </w:r>
      <w:r w:rsidR="003F34F3" w:rsidRPr="00F22278">
        <w:rPr>
          <w:b/>
          <w:bCs/>
        </w:rPr>
        <w:t>- ewakuacja</w:t>
      </w:r>
      <w:r w:rsidR="005B16FD" w:rsidRPr="00F22278">
        <w:rPr>
          <w:b/>
          <w:bCs/>
        </w:rPr>
        <w:t xml:space="preserve"> </w:t>
      </w:r>
      <w:r w:rsidR="00981F41" w:rsidRPr="00F22278">
        <w:rPr>
          <w:b/>
          <w:bCs/>
        </w:rPr>
        <w:t>osób</w:t>
      </w:r>
      <w:r w:rsidR="005B16FD" w:rsidRPr="00F22278">
        <w:rPr>
          <w:b/>
          <w:bCs/>
        </w:rPr>
        <w:t xml:space="preserve"> z</w:t>
      </w:r>
      <w:r w:rsidR="00957403" w:rsidRPr="00F22278">
        <w:rPr>
          <w:b/>
          <w:bCs/>
        </w:rPr>
        <w:t>e szczególnymi potrzebami</w:t>
      </w:r>
      <w:r w:rsidR="00957403" w:rsidRPr="00F22278">
        <w:rPr>
          <w:b/>
          <w:bCs/>
        </w:rPr>
        <w:br/>
        <w:t>(</w:t>
      </w:r>
      <w:r w:rsidR="00981F41" w:rsidRPr="00F22278">
        <w:rPr>
          <w:b/>
          <w:bCs/>
        </w:rPr>
        <w:t xml:space="preserve">pacjentów </w:t>
      </w:r>
      <w:r w:rsidR="00957403" w:rsidRPr="00F22278">
        <w:rPr>
          <w:b/>
          <w:bCs/>
        </w:rPr>
        <w:t>z</w:t>
      </w:r>
      <w:r w:rsidR="005C2514" w:rsidRPr="00F22278">
        <w:rPr>
          <w:b/>
          <w:bCs/>
        </w:rPr>
        <w:t xml:space="preserve"> </w:t>
      </w:r>
      <w:r w:rsidR="005B16FD" w:rsidRPr="00F22278">
        <w:rPr>
          <w:b/>
          <w:bCs/>
        </w:rPr>
        <w:t>niepełnosprawnościami</w:t>
      </w:r>
      <w:r w:rsidR="00957403" w:rsidRPr="00F22278">
        <w:rPr>
          <w:b/>
          <w:bCs/>
        </w:rPr>
        <w:t>)</w:t>
      </w:r>
    </w:p>
    <w:p w14:paraId="5514FDC5" w14:textId="77777777" w:rsidR="00D532FA" w:rsidRPr="00F22278" w:rsidRDefault="00D532FA" w:rsidP="00F22278">
      <w:pPr>
        <w:keepNext/>
        <w:keepLines/>
        <w:spacing w:after="0"/>
        <w:jc w:val="center"/>
        <w:outlineLvl w:val="0"/>
        <w:rPr>
          <w:rFonts w:ascii="Calibri Light" w:eastAsia="Times New Roman" w:hAnsi="Calibri Light" w:cs="Times New Roman"/>
          <w:b/>
          <w:bCs/>
          <w:color w:val="000000" w:themeColor="text1"/>
          <w:sz w:val="32"/>
          <w:szCs w:val="32"/>
        </w:rPr>
      </w:pPr>
      <w:r w:rsidRPr="00F22278">
        <w:rPr>
          <w:rFonts w:ascii="Calibri Light" w:eastAsia="Times New Roman" w:hAnsi="Calibri Light" w:cs="Times New Roman"/>
          <w:b/>
          <w:bCs/>
          <w:color w:val="000000" w:themeColor="text1"/>
          <w:sz w:val="32"/>
          <w:szCs w:val="32"/>
        </w:rPr>
        <w:t>Procedura dla pracowników szpitala</w:t>
      </w:r>
    </w:p>
    <w:p w14:paraId="21585957" w14:textId="77777777" w:rsidR="00D532FA" w:rsidRPr="00D532FA" w:rsidRDefault="00D532FA" w:rsidP="00D532FA">
      <w:pPr>
        <w:keepNext/>
        <w:keepLines/>
        <w:spacing w:after="0" w:line="288" w:lineRule="auto"/>
        <w:outlineLvl w:val="1"/>
        <w:rPr>
          <w:rFonts w:ascii="Calibri Light" w:eastAsia="Times New Roman" w:hAnsi="Calibri Light" w:cs="Times New Roman"/>
          <w:sz w:val="26"/>
          <w:szCs w:val="26"/>
        </w:rPr>
      </w:pPr>
      <w:r w:rsidRPr="00D532FA">
        <w:rPr>
          <w:rFonts w:ascii="Calibri Light" w:eastAsia="Times New Roman" w:hAnsi="Calibri Light" w:cs="Times New Roman"/>
          <w:sz w:val="26"/>
          <w:szCs w:val="26"/>
        </w:rPr>
        <w:t>Podstawa prawna</w:t>
      </w:r>
    </w:p>
    <w:p w14:paraId="195BA9D3" w14:textId="77777777" w:rsidR="00D532FA" w:rsidRPr="00D532FA" w:rsidRDefault="00D532FA" w:rsidP="00D532FA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D532FA">
        <w:rPr>
          <w:rFonts w:ascii="Calibri" w:eastAsia="Calibri" w:hAnsi="Calibri" w:cs="Times New Roman"/>
        </w:rPr>
        <w:t>Ustawa z dnia 19 lipca 2019 r., o zapewnianiu dostępności osobom ze szczególnymi potrzebami (Dz. U. Z 2022 r. poz. 2240);</w:t>
      </w:r>
    </w:p>
    <w:p w14:paraId="34CA8E0D" w14:textId="77777777" w:rsidR="00D532FA" w:rsidRPr="00D532FA" w:rsidRDefault="00D532FA" w:rsidP="00D532FA"/>
    <w:p w14:paraId="32FE43A7" w14:textId="0ABF2196" w:rsidR="00392461" w:rsidRDefault="003F34F3" w:rsidP="001F1B25">
      <w:pPr>
        <w:pStyle w:val="Nagwek2"/>
      </w:pPr>
      <w:r>
        <w:t>Sposób realizacji</w:t>
      </w:r>
      <w:r w:rsidR="00392461">
        <w:t>:</w:t>
      </w:r>
    </w:p>
    <w:p w14:paraId="0EB3AED0" w14:textId="711A02B7" w:rsidR="00392461" w:rsidRDefault="003F34F3" w:rsidP="003F34F3">
      <w:r>
        <w:t xml:space="preserve"> W przypadku wystąpienia zagrożenia </w:t>
      </w:r>
      <w:r w:rsidR="007E5394">
        <w:t xml:space="preserve">wyznaczony </w:t>
      </w:r>
      <w:r>
        <w:t>pracownik</w:t>
      </w:r>
      <w:r w:rsidR="007E5394">
        <w:t>/ asystent dla pacjentów z</w:t>
      </w:r>
      <w:r w:rsidR="00946042">
        <w:t> </w:t>
      </w:r>
      <w:r w:rsidR="007E5394">
        <w:t>niepełnosprawnością</w:t>
      </w:r>
      <w:r>
        <w:t xml:space="preserve"> informuje o jego zaistnieniu</w:t>
      </w:r>
      <w:r w:rsidR="005C2514">
        <w:t xml:space="preserve"> </w:t>
      </w:r>
      <w:r w:rsidR="007E5394">
        <w:t>w sposób zapewniający komunikację z</w:t>
      </w:r>
      <w:r w:rsidR="00946042">
        <w:t> </w:t>
      </w:r>
      <w:r w:rsidR="007E5394">
        <w:t>osobami ze szczególnymi potrzebami. U</w:t>
      </w:r>
      <w:r>
        <w:t>pewnia się, czy wszyscy p</w:t>
      </w:r>
      <w:r w:rsidR="00392461">
        <w:t>acjenci</w:t>
      </w:r>
      <w:r>
        <w:t xml:space="preserve"> ze szczególnymi potrzebami zostali poinformowani o zagrożeniu. </w:t>
      </w:r>
    </w:p>
    <w:p w14:paraId="4C93BE4B" w14:textId="5943254B" w:rsidR="00392461" w:rsidRDefault="003F34F3" w:rsidP="003F34F3">
      <w:r>
        <w:t>Pracownik wydaje p</w:t>
      </w:r>
      <w:r w:rsidR="00392461">
        <w:t>acjentom</w:t>
      </w:r>
      <w:r>
        <w:t xml:space="preserve"> instrukcje ewakuacyjne</w:t>
      </w:r>
      <w:r w:rsidR="007E5394">
        <w:t xml:space="preserve"> komunikując się z nimi zgodnie z ich</w:t>
      </w:r>
      <w:r w:rsidR="005C2514">
        <w:t xml:space="preserve"> </w:t>
      </w:r>
      <w:r w:rsidR="007E5394">
        <w:t>możliwościami</w:t>
      </w:r>
      <w:r w:rsidR="005C2514">
        <w:t>,</w:t>
      </w:r>
      <w:r w:rsidR="007E5394">
        <w:t xml:space="preserve"> czy umiejętnościami komunikacyjnymi.</w:t>
      </w:r>
    </w:p>
    <w:p w14:paraId="250AE33A" w14:textId="7528F752" w:rsidR="00392461" w:rsidRDefault="003F34F3" w:rsidP="003F34F3">
      <w:r>
        <w:t xml:space="preserve">Podczas ewakuacji </w:t>
      </w:r>
      <w:r w:rsidR="00392461">
        <w:t xml:space="preserve">wyznaczony </w:t>
      </w:r>
      <w:r>
        <w:t xml:space="preserve">pracownik zobowiązany jest stale kontrolować </w:t>
      </w:r>
      <w:r w:rsidR="00392461">
        <w:t>pacjentów z</w:t>
      </w:r>
      <w:r w:rsidR="00946042">
        <w:t> </w:t>
      </w:r>
      <w:r w:rsidR="00392461">
        <w:t>niepełnosprawnościami</w:t>
      </w:r>
      <w:r>
        <w:t xml:space="preserve">, za których odpowiada. </w:t>
      </w:r>
    </w:p>
    <w:p w14:paraId="6E168395" w14:textId="1EC6CA9C" w:rsidR="003F34F3" w:rsidRDefault="003F34F3" w:rsidP="003F34F3">
      <w:r>
        <w:t>W czasie ewakuacji należy stale informować p</w:t>
      </w:r>
      <w:r w:rsidR="00392461">
        <w:t>acjentów</w:t>
      </w:r>
      <w:r>
        <w:t xml:space="preserve"> o kierunku ewakuacji.</w:t>
      </w:r>
      <w:r w:rsidR="00A920EC">
        <w:t xml:space="preserve"> Wzdłuż korytarzy na ścianie zamontowane są poręcze, które służą pacjentom do łatwiejszego przemieszczania się, zwłaszcza w warunkach ograniczonej widoczności.</w:t>
      </w:r>
    </w:p>
    <w:p w14:paraId="40791C56" w14:textId="5F6E898D" w:rsidR="00392461" w:rsidRDefault="00392461" w:rsidP="007E5394">
      <w:pPr>
        <w:pStyle w:val="Nagwek2"/>
      </w:pPr>
      <w:r>
        <w:t>Zalecenia</w:t>
      </w:r>
      <w:r w:rsidR="005C2514">
        <w:t xml:space="preserve"> </w:t>
      </w:r>
      <w:r w:rsidR="00574EE9">
        <w:t>dla pracowników</w:t>
      </w:r>
      <w:r>
        <w:t xml:space="preserve"> szpitala</w:t>
      </w:r>
      <w:r w:rsidR="00574EE9">
        <w:t>:</w:t>
      </w:r>
    </w:p>
    <w:p w14:paraId="3A155D4F" w14:textId="06686C58" w:rsidR="00392461" w:rsidRDefault="00A920EC" w:rsidP="003F34F3">
      <w:r>
        <w:t>Należy z</w:t>
      </w:r>
      <w:r w:rsidR="00574EE9">
        <w:t>achowa</w:t>
      </w:r>
      <w:r>
        <w:t>ć</w:t>
      </w:r>
      <w:r w:rsidR="00574EE9">
        <w:t xml:space="preserve"> spokój. </w:t>
      </w:r>
      <w:r>
        <w:t>N</w:t>
      </w:r>
      <w:r w:rsidR="00574EE9">
        <w:t>iepokój</w:t>
      </w:r>
      <w:r>
        <w:t xml:space="preserve"> każdego pracownika szpitala</w:t>
      </w:r>
      <w:r w:rsidR="00574EE9">
        <w:t xml:space="preserve"> może się udzielić p</w:t>
      </w:r>
      <w:r w:rsidR="00392461">
        <w:t>acjentom</w:t>
      </w:r>
      <w:r w:rsidR="00557AB9">
        <w:br/>
      </w:r>
      <w:r w:rsidR="00574EE9">
        <w:t xml:space="preserve">i utrudnić </w:t>
      </w:r>
      <w:r>
        <w:t xml:space="preserve">przebieg </w:t>
      </w:r>
      <w:r w:rsidR="00574EE9">
        <w:t>ewakuacj</w:t>
      </w:r>
      <w:r>
        <w:t>i</w:t>
      </w:r>
      <w:r w:rsidR="00574EE9">
        <w:t xml:space="preserve">. Ewakuacja należy do czynności wywołujących </w:t>
      </w:r>
      <w:r>
        <w:t xml:space="preserve">u pacjentów </w:t>
      </w:r>
      <w:r w:rsidR="00574EE9">
        <w:t xml:space="preserve">stres i panikę. </w:t>
      </w:r>
    </w:p>
    <w:p w14:paraId="52BD2A56" w14:textId="00340B5B" w:rsidR="00AA3FE8" w:rsidRDefault="00A920EC" w:rsidP="003F34F3">
      <w:r>
        <w:lastRenderedPageBreak/>
        <w:t>Należy pamiętać</w:t>
      </w:r>
      <w:r w:rsidR="00574EE9">
        <w:t xml:space="preserve">, że osoby starsze, dzieci, osoby niewidome, osoby z niepełnosprawnościami psychicznymi i intelektualnymi mają trudności w ocenie zagrożenia, dlatego też narażone są na większe ryzyko </w:t>
      </w:r>
      <w:r w:rsidR="00805FA5">
        <w:t>zdarzeń obciążających</w:t>
      </w:r>
      <w:r w:rsidR="00557AB9">
        <w:t xml:space="preserve"> </w:t>
      </w:r>
      <w:r w:rsidR="00574EE9">
        <w:t xml:space="preserve">nie tylko wynikające z samego zagrożenia, ale również </w:t>
      </w:r>
      <w:r w:rsidR="00557AB9">
        <w:t xml:space="preserve">z przebiegu </w:t>
      </w:r>
      <w:r w:rsidR="00574EE9">
        <w:t xml:space="preserve">samej ewakuacji. </w:t>
      </w:r>
    </w:p>
    <w:p w14:paraId="043E4946" w14:textId="67A46378" w:rsidR="00A84244" w:rsidRDefault="00574EE9" w:rsidP="003F34F3">
      <w:r>
        <w:t>Rozpoczynając ewakuację musisz dokładnie poinformować p</w:t>
      </w:r>
      <w:r w:rsidR="00A84244">
        <w:t>acjentów</w:t>
      </w:r>
      <w:r>
        <w:t xml:space="preserve"> o zaistniałej sytuacji, wskazać kierunek i sposób opuszczenia </w:t>
      </w:r>
      <w:r w:rsidR="00A84244">
        <w:t>pomieszczeń szpitala/sal chorych</w:t>
      </w:r>
      <w:r w:rsidR="00557AB9">
        <w:t>. Należy</w:t>
      </w:r>
      <w:r>
        <w:t xml:space="preserve"> przekazywać proste komunikaty (np. ewakuacja, trzymaj się blisko mnie,</w:t>
      </w:r>
      <w:r w:rsidR="00557AB9">
        <w:t xml:space="preserve"> bądź ostrożny, </w:t>
      </w:r>
      <w:r>
        <w:t>kieruj się do wyjścia drogą ewakuacyjną</w:t>
      </w:r>
      <w:r w:rsidR="00557AB9">
        <w:t>, idź wzdłuż korytarza trzymając się barierek</w:t>
      </w:r>
      <w:r>
        <w:t>) upewniając się, że p</w:t>
      </w:r>
      <w:r w:rsidR="00A84244">
        <w:t xml:space="preserve">acjenci </w:t>
      </w:r>
      <w:r>
        <w:t xml:space="preserve">cię rozumieją. </w:t>
      </w:r>
    </w:p>
    <w:p w14:paraId="280B43B1" w14:textId="00B1CB33" w:rsidR="00A84244" w:rsidRDefault="00574EE9" w:rsidP="003F34F3">
      <w:r>
        <w:t xml:space="preserve">W przypadku osób </w:t>
      </w:r>
      <w:r w:rsidR="00557AB9">
        <w:t>G</w:t>
      </w:r>
      <w:r>
        <w:t>łuchych w sytuacji zagrożeni</w:t>
      </w:r>
      <w:r w:rsidR="00983442">
        <w:t>a można posłużyć się piktogramami</w:t>
      </w:r>
      <w:r w:rsidR="00557AB9">
        <w:t>,</w:t>
      </w:r>
      <w:r w:rsidR="00A84244">
        <w:t xml:space="preserve"> </w:t>
      </w:r>
      <w:r w:rsidR="00983442">
        <w:t xml:space="preserve">lub też </w:t>
      </w:r>
      <w:r w:rsidR="00805FA5">
        <w:t xml:space="preserve">jeśli </w:t>
      </w:r>
      <w:r w:rsidR="00A84244">
        <w:t>jest</w:t>
      </w:r>
      <w:r w:rsidR="00983442">
        <w:t xml:space="preserve"> taka możliwość</w:t>
      </w:r>
      <w:r w:rsidR="00A84244">
        <w:t xml:space="preserve"> </w:t>
      </w:r>
      <w:r w:rsidR="00983442">
        <w:t xml:space="preserve">wykorzystać </w:t>
      </w:r>
      <w:r w:rsidR="00A84244">
        <w:t>tablet</w:t>
      </w:r>
      <w:r w:rsidR="00983442">
        <w:t xml:space="preserve">, który jest w oddziale </w:t>
      </w:r>
      <w:r w:rsidR="00A84244">
        <w:t xml:space="preserve">i można </w:t>
      </w:r>
      <w:r w:rsidR="00983442">
        <w:t xml:space="preserve">spróbować </w:t>
      </w:r>
      <w:r w:rsidR="00A84244">
        <w:t>połączyć się z tłumaczem polskiego języka migowego.</w:t>
      </w:r>
    </w:p>
    <w:p w14:paraId="3544BFB0" w14:textId="77777777" w:rsidR="00983442" w:rsidRDefault="00A84244" w:rsidP="003F34F3">
      <w:r>
        <w:t>P</w:t>
      </w:r>
      <w:r w:rsidR="00574EE9">
        <w:t>amiętaj, że często g/Głusi nie znają języka polskiego</w:t>
      </w:r>
      <w:r>
        <w:t xml:space="preserve"> dlatego można użyć piktogramów ewakuacji</w:t>
      </w:r>
      <w:r w:rsidR="00983442">
        <w:t xml:space="preserve">, a nie zapisywać informacji na kartce. </w:t>
      </w:r>
      <w:r w:rsidR="00574EE9">
        <w:t xml:space="preserve">Karty ewakuacyjne możesz przygotować wcześniej </w:t>
      </w:r>
      <w:r>
        <w:t>i</w:t>
      </w:r>
      <w:r w:rsidR="005C2514">
        <w:t xml:space="preserve"> </w:t>
      </w:r>
      <w:r>
        <w:t xml:space="preserve">mieć je </w:t>
      </w:r>
      <w:r w:rsidR="00983442">
        <w:t xml:space="preserve">przy sobie </w:t>
      </w:r>
      <w:r>
        <w:t xml:space="preserve">w razie </w:t>
      </w:r>
      <w:r w:rsidR="00983442">
        <w:t>rozpoczętych działań</w:t>
      </w:r>
      <w:r>
        <w:t xml:space="preserve"> ewakuacyjnych. </w:t>
      </w:r>
    </w:p>
    <w:p w14:paraId="03BA2A02" w14:textId="3542E552" w:rsidR="00A84244" w:rsidRDefault="00983442" w:rsidP="003F34F3">
      <w:r>
        <w:t xml:space="preserve">Ważne są </w:t>
      </w:r>
      <w:r w:rsidR="00574EE9">
        <w:t>proste komendy: ewakuacja, trzymaj się blisko mnie, kieruj się do wyjścia drogą ewakuacyjn</w:t>
      </w:r>
      <w:r>
        <w:t>ą</w:t>
      </w:r>
      <w:r w:rsidR="00557AB9">
        <w:t>, idź trzymając się barierek przy ścianie</w:t>
      </w:r>
      <w:r>
        <w:t>, jeśli nie wiesz co robić zawołaj mnie.</w:t>
      </w:r>
    </w:p>
    <w:p w14:paraId="0E6E13EC" w14:textId="6148C303" w:rsidR="00A84244" w:rsidRDefault="00574EE9" w:rsidP="003F34F3">
      <w:r>
        <w:t xml:space="preserve">Przekazuj proste instrukcje ewakuacyjne, używaj gestów i określaj kierunki ewakuacji. </w:t>
      </w:r>
    </w:p>
    <w:p w14:paraId="73968667" w14:textId="11DB86C0" w:rsidR="00983442" w:rsidRDefault="00574EE9" w:rsidP="00983442">
      <w:pPr>
        <w:spacing w:before="0" w:after="0"/>
      </w:pPr>
      <w:r>
        <w:t xml:space="preserve">W przypadku ewakuacji </w:t>
      </w:r>
      <w:r w:rsidR="00983442">
        <w:t>pacjentów</w:t>
      </w:r>
      <w:r>
        <w:t xml:space="preserve"> niewidomych stale informuj </w:t>
      </w:r>
      <w:r w:rsidR="00983442">
        <w:t xml:space="preserve">ich </w:t>
      </w:r>
      <w:r>
        <w:t>o przebiegu trasy</w:t>
      </w:r>
      <w:r w:rsidR="00983442">
        <w:t xml:space="preserve"> ewakuacji</w:t>
      </w:r>
      <w:r>
        <w:t xml:space="preserve">, </w:t>
      </w:r>
      <w:r w:rsidR="00983442">
        <w:t>poleć trzymać się barierek zamontowanych w ścianie korytarzy, podawaj</w:t>
      </w:r>
      <w:r>
        <w:t xml:space="preserve"> kierunki</w:t>
      </w:r>
    </w:p>
    <w:p w14:paraId="026CC3D0" w14:textId="77777777" w:rsidR="00983442" w:rsidRDefault="00983442" w:rsidP="00983442">
      <w:pPr>
        <w:spacing w:before="0" w:after="0"/>
      </w:pPr>
      <w:r>
        <w:t xml:space="preserve">i </w:t>
      </w:r>
      <w:r w:rsidR="00574EE9">
        <w:t>ostrzegają</w:t>
      </w:r>
      <w:r>
        <w:t xml:space="preserve"> </w:t>
      </w:r>
      <w:r w:rsidR="00574EE9">
        <w:t xml:space="preserve">o przeszkodach. </w:t>
      </w:r>
    </w:p>
    <w:p w14:paraId="32FBC9BB" w14:textId="073F9B1F" w:rsidR="00A84244" w:rsidRDefault="00574EE9" w:rsidP="00983442">
      <w:pPr>
        <w:spacing w:before="0" w:after="0"/>
      </w:pPr>
      <w:r>
        <w:t>W przypadku p</w:t>
      </w:r>
      <w:r w:rsidR="00A84244">
        <w:t>acjentów niewidomych</w:t>
      </w:r>
      <w:r w:rsidR="005C2514">
        <w:t xml:space="preserve"> </w:t>
      </w:r>
      <w:r>
        <w:t xml:space="preserve">z psem asystującym pamiętaj, że ewakuacja to również sytuacja stresowa dla samego zwierzęcia. Nie próbuj rozdzielać </w:t>
      </w:r>
      <w:r w:rsidR="00805FA5">
        <w:t>psa</w:t>
      </w:r>
      <w:r>
        <w:t xml:space="preserve"> z właścicielem, </w:t>
      </w:r>
      <w:r w:rsidR="00805FA5">
        <w:t>nie</w:t>
      </w:r>
      <w:r>
        <w:t xml:space="preserve"> wydawa</w:t>
      </w:r>
      <w:r w:rsidR="00805FA5">
        <w:t>j też psu</w:t>
      </w:r>
      <w:r>
        <w:t xml:space="preserve"> komend. </w:t>
      </w:r>
    </w:p>
    <w:p w14:paraId="3903486F" w14:textId="110AA4AB" w:rsidR="00983442" w:rsidRDefault="00574EE9" w:rsidP="003F34F3">
      <w:r>
        <w:t xml:space="preserve">Jeśli sytuacja nie stwarza bezpośredniego zagrożenia życia nie próbuj ewakuacji przenosząc </w:t>
      </w:r>
      <w:r w:rsidR="00983442">
        <w:t xml:space="preserve">pacjentów </w:t>
      </w:r>
      <w:r>
        <w:t>na wózku czy poruszając</w:t>
      </w:r>
      <w:r w:rsidR="00983442">
        <w:t>ych</w:t>
      </w:r>
      <w:r>
        <w:t xml:space="preserve"> się o kulach. </w:t>
      </w:r>
      <w:r w:rsidR="00A84244">
        <w:t>Odprowadź lub wyznacz drugiego pracownika, który odprowadzi takie osoby do specjalnego pokoju ewakuacyjnego, który został wcześniej przygotowany na takie zdarzenie zgodnie z wymogami</w:t>
      </w:r>
      <w:r w:rsidR="00805FA5">
        <w:t xml:space="preserve"> zawartymi w </w:t>
      </w:r>
      <w:r w:rsidR="00805FA5">
        <w:lastRenderedPageBreak/>
        <w:t>standardzie. Dostępności szpitali.</w:t>
      </w:r>
      <w:r w:rsidR="00A84244">
        <w:t xml:space="preserve"> </w:t>
      </w:r>
      <w:r w:rsidR="00983442">
        <w:t>Z</w:t>
      </w:r>
      <w:r>
        <w:t>apew</w:t>
      </w:r>
      <w:r w:rsidR="00983442">
        <w:t>nij</w:t>
      </w:r>
      <w:r>
        <w:t xml:space="preserve"> bezpieczeńst</w:t>
      </w:r>
      <w:r w:rsidR="00983442">
        <w:t xml:space="preserve">wo pacjentowi w oczekiwaniu na </w:t>
      </w:r>
      <w:r>
        <w:t>przybyci</w:t>
      </w:r>
      <w:r w:rsidR="00983442">
        <w:t>e</w:t>
      </w:r>
      <w:r>
        <w:t xml:space="preserve"> służb ratowniczych. </w:t>
      </w:r>
    </w:p>
    <w:p w14:paraId="5E0B504C" w14:textId="605BFD79" w:rsidR="00557AB9" w:rsidRDefault="00574EE9" w:rsidP="003F34F3">
      <w:r>
        <w:t>Pamiętaj, że dzieci</w:t>
      </w:r>
      <w:r w:rsidR="00557AB9">
        <w:t xml:space="preserve">, pacjenci ze spektrum autyzmu oraz pacjenci z niepełnosprawnością intelektualną </w:t>
      </w:r>
      <w:r>
        <w:t>w sytuacji zagrożenia często chowają się</w:t>
      </w:r>
      <w:r w:rsidR="00557AB9">
        <w:t>, zamiast przechodzić w bezpieczne miejsce zgodnie z komunikatami.</w:t>
      </w:r>
      <w:r>
        <w:t xml:space="preserve"> </w:t>
      </w:r>
    </w:p>
    <w:p w14:paraId="0A71FB99" w14:textId="44F47465" w:rsidR="00A84244" w:rsidRDefault="00557AB9" w:rsidP="003F34F3">
      <w:r>
        <w:t>Należy p</w:t>
      </w:r>
      <w:r w:rsidR="00574EE9">
        <w:t>amięta</w:t>
      </w:r>
      <w:r>
        <w:t>ć, o</w:t>
      </w:r>
      <w:r w:rsidR="00574EE9">
        <w:t xml:space="preserve"> </w:t>
      </w:r>
      <w:r>
        <w:t>sprawdzeniu</w:t>
      </w:r>
      <w:r w:rsidR="00574EE9">
        <w:t xml:space="preserve"> przestrze</w:t>
      </w:r>
      <w:r>
        <w:t xml:space="preserve">ni </w:t>
      </w:r>
      <w:r w:rsidR="00574EE9">
        <w:t xml:space="preserve">pod </w:t>
      </w:r>
      <w:r w:rsidR="00A84244">
        <w:t>łóżkami</w:t>
      </w:r>
      <w:r>
        <w:t xml:space="preserve">, za szafami </w:t>
      </w:r>
      <w:r w:rsidR="00A84244">
        <w:t xml:space="preserve">w </w:t>
      </w:r>
      <w:r>
        <w:t>s</w:t>
      </w:r>
      <w:r w:rsidR="00A84244">
        <w:t>ali chorych</w:t>
      </w:r>
      <w:r w:rsidR="00574EE9">
        <w:t>, toalety</w:t>
      </w:r>
      <w:r>
        <w:t xml:space="preserve">, natryski </w:t>
      </w:r>
      <w:r w:rsidR="00574EE9">
        <w:t>oraz inne miejsca, w których mo</w:t>
      </w:r>
      <w:r w:rsidR="00805FA5">
        <w:t>gliby</w:t>
      </w:r>
      <w:r w:rsidR="00574EE9">
        <w:t xml:space="preserve"> się ukryć. </w:t>
      </w:r>
    </w:p>
    <w:p w14:paraId="1DAFCE2D" w14:textId="1AC0D298" w:rsidR="00A84244" w:rsidRDefault="00574EE9" w:rsidP="003F34F3">
      <w:r>
        <w:t xml:space="preserve">Po ewakuacji </w:t>
      </w:r>
      <w:r w:rsidR="00557AB9">
        <w:t>należy przekazać</w:t>
      </w:r>
      <w:r>
        <w:t xml:space="preserve"> informację służbom ratowniczym, czy wszystkie osoby opuściły budynek. </w:t>
      </w:r>
    </w:p>
    <w:p w14:paraId="596BC0AA" w14:textId="57574442" w:rsidR="0029791F" w:rsidRDefault="0029791F" w:rsidP="0029791F">
      <w:pPr>
        <w:pStyle w:val="Nagwek1"/>
      </w:pPr>
      <w:r>
        <w:t>Wymogi architektoniczne do ewakuacji osób z niepełnosprawnościami</w:t>
      </w:r>
    </w:p>
    <w:p w14:paraId="1A41BC91" w14:textId="77777777" w:rsidR="007E5394" w:rsidRPr="007E5394" w:rsidRDefault="007E5394" w:rsidP="007E5394">
      <w:r w:rsidRPr="007E5394">
        <w:t>Rozwiązania ułatwiające sprawną ewakuację.</w:t>
      </w:r>
    </w:p>
    <w:p w14:paraId="66EBB428" w14:textId="77777777" w:rsidR="007E5394" w:rsidRPr="007E5394" w:rsidRDefault="007E5394" w:rsidP="007E5394">
      <w:r w:rsidRPr="007E5394">
        <w:t>Szerokie korytarze bez zbędnych przedmiotów utrudniających poruszanie się;</w:t>
      </w:r>
    </w:p>
    <w:p w14:paraId="7B6B462F" w14:textId="118A2EE9" w:rsidR="007E5394" w:rsidRPr="007E5394" w:rsidRDefault="007E5394" w:rsidP="007E5394">
      <w:r w:rsidRPr="007E5394">
        <w:t>Posadzka</w:t>
      </w:r>
      <w:r w:rsidR="005C2514">
        <w:t>,</w:t>
      </w:r>
      <w:r w:rsidRPr="007E5394">
        <w:t xml:space="preserve"> która pod wpływem wody nie staje się śliska;</w:t>
      </w:r>
    </w:p>
    <w:p w14:paraId="5D70693E" w14:textId="27EFBED1" w:rsidR="007E5394" w:rsidRPr="007E5394" w:rsidRDefault="007E5394" w:rsidP="007E5394">
      <w:r w:rsidRPr="007E5394">
        <w:t>Odpowiednie oświetlenie przy posadzce w postaci listwy przypodłogowej zasilane z</w:t>
      </w:r>
      <w:r w:rsidR="00946042">
        <w:t> </w:t>
      </w:r>
      <w:r w:rsidRPr="007E5394">
        <w:t>niezależnego źródła;</w:t>
      </w:r>
    </w:p>
    <w:p w14:paraId="3C824637" w14:textId="3E84C283" w:rsidR="007E5394" w:rsidRPr="007E5394" w:rsidRDefault="007E5394" w:rsidP="007E5394">
      <w:r w:rsidRPr="007E5394">
        <w:t>Oznaczenia w obrębie posadzki w postaci strzałek – punktów świetlnych nawigujących w</w:t>
      </w:r>
      <w:r w:rsidR="00946042">
        <w:t> </w:t>
      </w:r>
      <w:r w:rsidRPr="007E5394">
        <w:t>kierunku wyjścia, schodów;</w:t>
      </w:r>
    </w:p>
    <w:p w14:paraId="6CCC8BE3" w14:textId="77777777" w:rsidR="007E5394" w:rsidRPr="007E5394" w:rsidRDefault="007E5394" w:rsidP="007E5394">
      <w:r w:rsidRPr="007E5394">
        <w:t>Poręcze wzdłuż ściany korytarza umożliwiające poruszanie się przy ograniczonej widoczności;</w:t>
      </w:r>
    </w:p>
    <w:p w14:paraId="7E1F707B" w14:textId="77777777" w:rsidR="007E5394" w:rsidRPr="007E5394" w:rsidRDefault="007E5394" w:rsidP="007E5394">
      <w:r w:rsidRPr="007E5394">
        <w:t>Przy klatkach schodowych umieścić wózki ewakuacyjne;</w:t>
      </w:r>
    </w:p>
    <w:p w14:paraId="172B29FA" w14:textId="322A1064" w:rsidR="007E5394" w:rsidRPr="007E5394" w:rsidRDefault="007E5394" w:rsidP="007E5394">
      <w:r w:rsidRPr="007E5394">
        <w:t>W rozległych obiektach: punkty zbiórki, pokoje oczekiwania na</w:t>
      </w:r>
      <w:r w:rsidR="005C2514">
        <w:t xml:space="preserve"> </w:t>
      </w:r>
      <w:r w:rsidRPr="007E5394">
        <w:t>ewakuację o zwiększonej odporności na ogień i dym, oznaczone punktem świetnym, alarmy w alfabecie Braille’a na drzwiach;</w:t>
      </w:r>
    </w:p>
    <w:p w14:paraId="3D00C0C9" w14:textId="069B8DC9" w:rsidR="0029791F" w:rsidRPr="0029791F" w:rsidRDefault="007E5394" w:rsidP="007E5394">
      <w:r w:rsidRPr="007E5394">
        <w:t>W pokojach tych wejście powinno być dostosowane do wymiarów wózka z przestrzenią do manewrowania 150x150cm[5].</w:t>
      </w:r>
    </w:p>
    <w:p w14:paraId="55BDC1D4" w14:textId="5F333B6B" w:rsidR="008D25D8" w:rsidRDefault="008D25D8" w:rsidP="008D25D8">
      <w:pPr>
        <w:pStyle w:val="Nagwek1"/>
      </w:pPr>
      <w:r>
        <w:lastRenderedPageBreak/>
        <w:t>Znaki ewakuacyjne</w:t>
      </w:r>
    </w:p>
    <w:p w14:paraId="00EC2245" w14:textId="3AFC20C1" w:rsidR="008D25D8" w:rsidRDefault="008D25D8" w:rsidP="003F34F3">
      <w:r w:rsidRPr="008D25D8">
        <w:t>Wyjście ewakuacyjne (lewostronne) Znak umieszczany nad drzwiami/ przegrodami lub wzdłuż ciągów komunikacyjnych uzupełniony o znak „strzałki”. 2. Wyjście ewakuacyjne (prawostronne) Znak umieszczany nad drzwiami/ przegrodami lub wzdłuż ciągów komunikacyjnych uzupełniony o znak „strzałki”.</w:t>
      </w:r>
    </w:p>
    <w:p w14:paraId="7A30EFD9" w14:textId="1E046142" w:rsidR="00DB362B" w:rsidRDefault="008D25D8" w:rsidP="003F34F3">
      <w:r w:rsidRPr="008D25D8">
        <w:t>Jak interpretować znaki ewakuacyjne? Kolorystyka znaków ewakuacyjnych bazuje na bieli i</w:t>
      </w:r>
      <w:r w:rsidR="00946042">
        <w:t> </w:t>
      </w:r>
      <w:r w:rsidRPr="008D25D8">
        <w:t>zieleni. Zwykle białe, proste symbole graficzne umieszcza się na zielonym tle. Taka symbolika obowiązuje w całej Polsce, dlatego nie trzeba obawiać się o różnorodność znaków umieszczanych w zależności od miejsca.</w:t>
      </w:r>
    </w:p>
    <w:p w14:paraId="1DEF261F" w14:textId="0EC538F6" w:rsidR="00DB362B" w:rsidRDefault="00DB362B" w:rsidP="00DB362B">
      <w:pPr>
        <w:pStyle w:val="Nagwek1"/>
      </w:pPr>
      <w:r>
        <w:t>Procedurę przygotowano na podstawie:</w:t>
      </w:r>
    </w:p>
    <w:p w14:paraId="3CBEBC0B" w14:textId="77777777" w:rsidR="00273B6D" w:rsidRDefault="00DB362B" w:rsidP="00273B6D">
      <w:pPr>
        <w:pStyle w:val="Akapitzlist"/>
        <w:numPr>
          <w:ilvl w:val="0"/>
          <w:numId w:val="4"/>
        </w:numPr>
        <w:spacing w:after="0"/>
      </w:pPr>
      <w:r>
        <w:t>Standard pomocy w podroży. Tytuł projektu: Szkolenia dla pracowników sektora transportu zbiorowego w zakresie potrzeb osób o szczególnych potrzebach, w tym osób</w:t>
      </w:r>
      <w:r w:rsidR="00957403">
        <w:t xml:space="preserve"> </w:t>
      </w:r>
      <w:r>
        <w:t>z niepełnosprawnościam</w:t>
      </w:r>
      <w:r w:rsidR="00946042">
        <w:t>i</w:t>
      </w:r>
      <w:r>
        <w:t>. Warszawa, grudzień 2020r.</w:t>
      </w:r>
    </w:p>
    <w:p w14:paraId="08C56824" w14:textId="33A27782" w:rsidR="003B4004" w:rsidRDefault="00000000" w:rsidP="00273B6D">
      <w:pPr>
        <w:spacing w:after="0"/>
      </w:pPr>
      <w:hyperlink r:id="rId7" w:history="1">
        <w:r w:rsidR="00273B6D" w:rsidRPr="00C50978">
          <w:rPr>
            <w:rStyle w:val="Hipercze"/>
          </w:rPr>
          <w:t>https://www.pfron.org.pl/fileadmin/Projekty_UE/Pracownicy_sektora_transportu/2022_rok/2022-01-11_standardy/Standard_pomocy_w_podrozy_T._KOLEJOWY_I_M-DZYMIASTOWY_styczen_2022.pdf?utm_campaign=pfron&amp;utm_source=df&amp;utm_medium=download</w:t>
        </w:r>
      </w:hyperlink>
    </w:p>
    <w:p w14:paraId="6EFD76D9" w14:textId="77777777" w:rsidR="00273B6D" w:rsidRDefault="00273B6D" w:rsidP="00273B6D">
      <w:pPr>
        <w:spacing w:after="0"/>
      </w:pPr>
    </w:p>
    <w:p w14:paraId="309DEB7A" w14:textId="0F320046" w:rsidR="00957403" w:rsidRPr="00957403" w:rsidRDefault="00957403" w:rsidP="00957403">
      <w:pPr>
        <w:pStyle w:val="Akapitzlist"/>
        <w:numPr>
          <w:ilvl w:val="0"/>
          <w:numId w:val="4"/>
        </w:numPr>
        <w:spacing w:before="0" w:after="0"/>
      </w:pPr>
      <w:r w:rsidRPr="00957403">
        <w:rPr>
          <w:rFonts w:cstheme="minorHAnsi"/>
          <w:kern w:val="24"/>
          <w:szCs w:val="24"/>
        </w:rPr>
        <w:t>Standard dostępności szpitali.</w:t>
      </w:r>
    </w:p>
    <w:p w14:paraId="355F73E6" w14:textId="65C386B6" w:rsidR="00957403" w:rsidRDefault="00000000" w:rsidP="00946042">
      <w:hyperlink r:id="rId8" w:history="1">
        <w:r w:rsidR="003B4004" w:rsidRPr="004633BD">
          <w:rPr>
            <w:rStyle w:val="Hipercze"/>
          </w:rPr>
          <w:t>https://zdrowie.gov.pl/uploads/pub/pages/page_1103/text_images/Standard%20dost%C4%99pno%C5%9Bci%20Szpitali.pdf</w:t>
        </w:r>
      </w:hyperlink>
    </w:p>
    <w:p w14:paraId="7BCA7537" w14:textId="77777777" w:rsidR="003B4004" w:rsidRDefault="003B4004" w:rsidP="00946042"/>
    <w:p w14:paraId="49DEB6B6" w14:textId="5B7B6294" w:rsidR="003B4004" w:rsidRPr="00946042" w:rsidRDefault="003B4004" w:rsidP="00946042">
      <w:r>
        <w:t>Opracowan</w:t>
      </w:r>
      <w:r w:rsidR="00273B6D">
        <w:t>ie</w:t>
      </w:r>
      <w:r>
        <w:t>: dr n. med. Agnieszka Wolińska-Grabowska</w:t>
      </w:r>
    </w:p>
    <w:sectPr w:rsidR="003B4004" w:rsidRPr="0094604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5B398" w14:textId="77777777" w:rsidR="002C61D5" w:rsidRDefault="002C61D5" w:rsidP="00E723A5">
      <w:pPr>
        <w:spacing w:before="0" w:after="0" w:line="240" w:lineRule="auto"/>
      </w:pPr>
      <w:r>
        <w:separator/>
      </w:r>
    </w:p>
  </w:endnote>
  <w:endnote w:type="continuationSeparator" w:id="0">
    <w:p w14:paraId="29FE5E8E" w14:textId="77777777" w:rsidR="002C61D5" w:rsidRDefault="002C61D5" w:rsidP="00E723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6430220"/>
      <w:docPartObj>
        <w:docPartGallery w:val="Page Numbers (Bottom of Page)"/>
        <w:docPartUnique/>
      </w:docPartObj>
    </w:sdtPr>
    <w:sdtContent>
      <w:p w14:paraId="597612A8" w14:textId="781E3B6E" w:rsidR="00981F41" w:rsidRDefault="00981F41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5DF91B9D" w14:textId="77777777" w:rsidR="00981F41" w:rsidRDefault="00981F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4A48B" w14:textId="77777777" w:rsidR="002C61D5" w:rsidRDefault="002C61D5" w:rsidP="00E723A5">
      <w:pPr>
        <w:spacing w:before="0" w:after="0" w:line="240" w:lineRule="auto"/>
      </w:pPr>
      <w:r>
        <w:separator/>
      </w:r>
    </w:p>
  </w:footnote>
  <w:footnote w:type="continuationSeparator" w:id="0">
    <w:p w14:paraId="1B7E5E29" w14:textId="77777777" w:rsidR="002C61D5" w:rsidRDefault="002C61D5" w:rsidP="00E723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8761" w14:textId="50C9888A" w:rsidR="00981F41" w:rsidRDefault="00981F41">
    <w:pPr>
      <w:pStyle w:val="Nagwek"/>
    </w:pPr>
    <w:r>
      <w:rPr>
        <w:noProof/>
      </w:rPr>
      <w:drawing>
        <wp:inline distT="0" distB="0" distL="0" distR="0" wp14:anchorId="5E87FCEF" wp14:editId="21FF3EC2">
          <wp:extent cx="5584190" cy="567055"/>
          <wp:effectExtent l="0" t="0" r="0" b="4445"/>
          <wp:docPr id="138883357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F085D"/>
    <w:multiLevelType w:val="hybridMultilevel"/>
    <w:tmpl w:val="22461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E4F72"/>
    <w:multiLevelType w:val="hybridMultilevel"/>
    <w:tmpl w:val="00645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04D3C"/>
    <w:multiLevelType w:val="hybridMultilevel"/>
    <w:tmpl w:val="71D6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B6F29"/>
    <w:multiLevelType w:val="hybridMultilevel"/>
    <w:tmpl w:val="62C6AC74"/>
    <w:lvl w:ilvl="0" w:tplc="ECB21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D70812"/>
    <w:multiLevelType w:val="hybridMultilevel"/>
    <w:tmpl w:val="46046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193544">
    <w:abstractNumId w:val="0"/>
  </w:num>
  <w:num w:numId="2" w16cid:durableId="58479644">
    <w:abstractNumId w:val="3"/>
  </w:num>
  <w:num w:numId="3" w16cid:durableId="810295892">
    <w:abstractNumId w:val="4"/>
  </w:num>
  <w:num w:numId="4" w16cid:durableId="2011980291">
    <w:abstractNumId w:val="2"/>
  </w:num>
  <w:num w:numId="5" w16cid:durableId="173887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99"/>
    <w:rsid w:val="00011DF7"/>
    <w:rsid w:val="00045D1A"/>
    <w:rsid w:val="000D6138"/>
    <w:rsid w:val="001866BC"/>
    <w:rsid w:val="001F1B25"/>
    <w:rsid w:val="001F5BE5"/>
    <w:rsid w:val="002073A2"/>
    <w:rsid w:val="00273B6D"/>
    <w:rsid w:val="0029791F"/>
    <w:rsid w:val="002C61D5"/>
    <w:rsid w:val="002F7DB4"/>
    <w:rsid w:val="00375D99"/>
    <w:rsid w:val="00385238"/>
    <w:rsid w:val="00392461"/>
    <w:rsid w:val="003B4004"/>
    <w:rsid w:val="003B7712"/>
    <w:rsid w:val="003F34F3"/>
    <w:rsid w:val="00447C9E"/>
    <w:rsid w:val="004E3E91"/>
    <w:rsid w:val="004E57CC"/>
    <w:rsid w:val="005252CC"/>
    <w:rsid w:val="005259CA"/>
    <w:rsid w:val="00545D05"/>
    <w:rsid w:val="00557AB9"/>
    <w:rsid w:val="00574EE9"/>
    <w:rsid w:val="005A0222"/>
    <w:rsid w:val="005A2D76"/>
    <w:rsid w:val="005B16FD"/>
    <w:rsid w:val="005C2514"/>
    <w:rsid w:val="005F39D8"/>
    <w:rsid w:val="00636347"/>
    <w:rsid w:val="0076721D"/>
    <w:rsid w:val="007D7E7F"/>
    <w:rsid w:val="007E071A"/>
    <w:rsid w:val="007E5394"/>
    <w:rsid w:val="00805FA5"/>
    <w:rsid w:val="008D25D8"/>
    <w:rsid w:val="008E4DCD"/>
    <w:rsid w:val="00946042"/>
    <w:rsid w:val="00957403"/>
    <w:rsid w:val="00981F41"/>
    <w:rsid w:val="00983442"/>
    <w:rsid w:val="009A5D87"/>
    <w:rsid w:val="00A64183"/>
    <w:rsid w:val="00A84244"/>
    <w:rsid w:val="00A920EC"/>
    <w:rsid w:val="00AA3FE8"/>
    <w:rsid w:val="00CC0EB2"/>
    <w:rsid w:val="00CC40A3"/>
    <w:rsid w:val="00CD61DC"/>
    <w:rsid w:val="00D532FA"/>
    <w:rsid w:val="00DB362B"/>
    <w:rsid w:val="00DE5C94"/>
    <w:rsid w:val="00E334BF"/>
    <w:rsid w:val="00E723A5"/>
    <w:rsid w:val="00F22278"/>
    <w:rsid w:val="00F62E3F"/>
    <w:rsid w:val="00F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DFEE"/>
  <w15:chartTrackingRefBased/>
  <w15:docId w15:val="{58171A3A-83AD-4E51-BB74-2A4EB29F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D99"/>
    <w:pPr>
      <w:suppressAutoHyphens/>
      <w:spacing w:before="24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5D99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E7F"/>
    <w:pPr>
      <w:keepNext/>
      <w:keepLines/>
      <w:spacing w:after="0" w:line="288" w:lineRule="auto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7E7F"/>
    <w:pPr>
      <w:keepNext/>
      <w:keepLines/>
      <w:spacing w:after="0" w:line="288" w:lineRule="auto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7E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5D9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D7E7F"/>
    <w:rPr>
      <w:rFonts w:asciiTheme="majorHAnsi" w:eastAsiaTheme="majorEastAsia" w:hAnsiTheme="majorHAnsi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7E7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D7E7F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Akapitzlist">
    <w:name w:val="List Paragraph"/>
    <w:basedOn w:val="Normalny"/>
    <w:uiPriority w:val="34"/>
    <w:qFormat/>
    <w:rsid w:val="005259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3A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23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23A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36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62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81F4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F41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981F4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F4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owie.gov.pl/uploads/pub/pages/page_1103/text_images/Standard%20dost%C4%99pno%C5%9Bci%20Szpital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fron.org.pl/fileadmin/Projekty_UE/Pracownicy_sektora_transportu/2022_rok/2022-01-11_standardy/Standard_pomocy_w_podrozy_T._KOLEJOWY_I_M-DZYMIASTOWY_styczen_2022.pdf?utm_campaign=pfron&amp;utm_source=df&amp;utm_medium=downlo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Wolińska-Grabowska</dc:creator>
  <cp:keywords/>
  <dc:description/>
  <cp:lastModifiedBy>Administracja</cp:lastModifiedBy>
  <cp:revision>24</cp:revision>
  <cp:lastPrinted>2023-08-18T12:39:00Z</cp:lastPrinted>
  <dcterms:created xsi:type="dcterms:W3CDTF">2023-07-12T15:04:00Z</dcterms:created>
  <dcterms:modified xsi:type="dcterms:W3CDTF">2023-08-18T12:39:00Z</dcterms:modified>
</cp:coreProperties>
</file>